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9" w:type="dxa"/>
        <w:tblInd w:w="-595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086"/>
        <w:gridCol w:w="5723"/>
      </w:tblGrid>
      <w:tr w:rsidR="00E6529B" w:rsidRPr="00E6529B" w:rsidTr="005F5DEC">
        <w:trPr>
          <w:cantSplit/>
          <w:trHeight w:hRule="exact" w:val="1800"/>
        </w:trPr>
        <w:tc>
          <w:tcPr>
            <w:tcW w:w="4086" w:type="dxa"/>
          </w:tcPr>
          <w:p w:rsidR="00E6529B" w:rsidRPr="00E6529B" w:rsidRDefault="00E6529B" w:rsidP="00E6529B">
            <w:pPr>
              <w:widowControl w:val="0"/>
              <w:tabs>
                <w:tab w:val="left" w:pos="794"/>
                <w:tab w:val="left" w:pos="1191"/>
              </w:tabs>
              <w:adjustRightInd w:val="0"/>
              <w:spacing w:line="320" w:lineRule="atLeast"/>
              <w:ind w:left="794"/>
              <w:textAlignment w:val="baseline"/>
              <w:rPr>
                <w:rFonts w:eastAsia="Times New Roman" w:cs="Times New Roman"/>
                <w:sz w:val="22"/>
                <w:lang w:eastAsia="de-CH"/>
              </w:rPr>
            </w:pPr>
            <w:r w:rsidRPr="00E6529B">
              <w:rPr>
                <w:rFonts w:eastAsia="Times New Roman" w:cs="Times New Roman"/>
                <w:noProof/>
                <w:sz w:val="22"/>
                <w:lang w:eastAsia="de-CH"/>
              </w:rPr>
              <w:drawing>
                <wp:anchor distT="0" distB="0" distL="114300" distR="114300" simplePos="0" relativeHeight="251659264" behindDoc="0" locked="0" layoutInCell="1" allowOverlap="1" wp14:anchorId="611FB437" wp14:editId="18518FFA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14766</wp:posOffset>
                  </wp:positionV>
                  <wp:extent cx="1978660" cy="641350"/>
                  <wp:effectExtent l="0" t="0" r="0" b="0"/>
                  <wp:wrapNone/>
                  <wp:docPr id="1" name="Grafik 1" descr="Logo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866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3" w:type="dxa"/>
          </w:tcPr>
          <w:p w:rsidR="00E6529B" w:rsidRPr="00E6529B" w:rsidRDefault="00E6529B" w:rsidP="00E6529B">
            <w:pPr>
              <w:widowControl w:val="0"/>
              <w:tabs>
                <w:tab w:val="left" w:pos="794"/>
                <w:tab w:val="left" w:pos="1191"/>
              </w:tabs>
              <w:adjustRightInd w:val="0"/>
              <w:spacing w:after="100" w:line="200" w:lineRule="exact"/>
              <w:ind w:left="794"/>
              <w:textAlignment w:val="baseline"/>
              <w:rPr>
                <w:rFonts w:eastAsia="Times New Roman" w:cs="Times New Roman"/>
                <w:sz w:val="15"/>
                <w:szCs w:val="15"/>
                <w:lang w:eastAsia="de-CH"/>
              </w:rPr>
            </w:pPr>
            <w:r w:rsidRPr="00E6529B">
              <w:rPr>
                <w:rFonts w:eastAsia="Times New Roman" w:cs="Times New Roman"/>
                <w:sz w:val="15"/>
                <w:szCs w:val="15"/>
                <w:lang w:eastAsia="de-CH"/>
              </w:rPr>
              <w:t>Eidgenössisches Departement für Umwelt, Verkehr, Energie und</w:t>
            </w:r>
            <w:r w:rsidRPr="00E6529B">
              <w:rPr>
                <w:rFonts w:eastAsia="Times New Roman" w:cs="Times New Roman"/>
                <w:sz w:val="15"/>
                <w:szCs w:val="15"/>
                <w:lang w:eastAsia="de-CH"/>
              </w:rPr>
              <w:br/>
              <w:t>Kommunikation UVEK</w:t>
            </w:r>
            <w:r w:rsidRPr="00E6529B">
              <w:rPr>
                <w:rFonts w:eastAsia="Times New Roman" w:cs="Times New Roman"/>
                <w:sz w:val="15"/>
                <w:szCs w:val="15"/>
                <w:lang w:eastAsia="de-CH"/>
              </w:rPr>
              <w:br/>
            </w:r>
            <w:r w:rsidRPr="00E6529B">
              <w:rPr>
                <w:rFonts w:eastAsia="Times New Roman" w:cs="Times New Roman"/>
                <w:sz w:val="15"/>
                <w:szCs w:val="15"/>
                <w:lang w:eastAsia="de-CH"/>
              </w:rPr>
              <w:br/>
            </w:r>
            <w:r w:rsidRPr="00E6529B">
              <w:rPr>
                <w:rFonts w:eastAsia="Times New Roman" w:cs="Times New Roman"/>
                <w:b/>
                <w:sz w:val="15"/>
                <w:szCs w:val="15"/>
                <w:lang w:eastAsia="de-CH"/>
              </w:rPr>
              <w:t>Bundesamt für Zivilluftfahrt BAZL</w:t>
            </w:r>
          </w:p>
        </w:tc>
      </w:tr>
    </w:tbl>
    <w:p w:rsidR="007D5FA2" w:rsidRPr="00A34EC1" w:rsidRDefault="00501E18" w:rsidP="00AD4B4B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A34EC1" w:rsidRPr="00A34EC1">
        <w:rPr>
          <w:b/>
          <w:sz w:val="24"/>
          <w:szCs w:val="24"/>
        </w:rPr>
        <w:t>rläuterungen zur Mustervorlage Betriebsreglement</w:t>
      </w:r>
    </w:p>
    <w:p w:rsidR="00A34EC1" w:rsidRDefault="00A34EC1" w:rsidP="00AD4B4B"/>
    <w:p w:rsidR="00917759" w:rsidRDefault="00917759" w:rsidP="00AD4B4B"/>
    <w:p w:rsidR="00A34EC1" w:rsidRPr="00A34EC1" w:rsidRDefault="00A34EC1" w:rsidP="007633B7">
      <w:pPr>
        <w:spacing w:line="360" w:lineRule="auto"/>
        <w:rPr>
          <w:b/>
        </w:rPr>
      </w:pPr>
      <w:r w:rsidRPr="00A34EC1">
        <w:rPr>
          <w:b/>
        </w:rPr>
        <w:t>Anhang 1: Betriebsorganisation</w:t>
      </w:r>
    </w:p>
    <w:p w:rsidR="00A34EC1" w:rsidRDefault="00A34EC1" w:rsidP="007633B7">
      <w:pPr>
        <w:spacing w:line="240" w:lineRule="atLeast"/>
      </w:pPr>
      <w:r>
        <w:t>Nebst dem Organigramm sind die verschiedenen Akteure</w:t>
      </w:r>
      <w:r w:rsidR="00A325E9">
        <w:t xml:space="preserve"> (Funktionen</w:t>
      </w:r>
      <w:r w:rsidR="002E1DE6">
        <w:t>,</w:t>
      </w:r>
      <w:r w:rsidR="00A325E9">
        <w:t xml:space="preserve"> keine Namen</w:t>
      </w:r>
      <w:r w:rsidR="002E1DE6">
        <w:t xml:space="preserve"> von Personen</w:t>
      </w:r>
      <w:r w:rsidR="00A325E9">
        <w:t xml:space="preserve">) </w:t>
      </w:r>
      <w:r>
        <w:t>auf dem Flugplatz aufzuzeigen</w:t>
      </w:r>
      <w:r w:rsidR="00671884">
        <w:t>;</w:t>
      </w:r>
      <w:r>
        <w:t xml:space="preserve"> zudem sind ihr Verhältnis untereinander und ihre </w:t>
      </w:r>
      <w:r w:rsidR="00A325E9">
        <w:t xml:space="preserve">gegenseitigen </w:t>
      </w:r>
      <w:r>
        <w:t>Abhängigkeiten zu nennen.</w:t>
      </w:r>
      <w:r w:rsidR="005C2339">
        <w:t xml:space="preserve"> </w:t>
      </w:r>
    </w:p>
    <w:p w:rsidR="00A34EC1" w:rsidRDefault="00A34EC1" w:rsidP="00AD4B4B"/>
    <w:p w:rsidR="00A34EC1" w:rsidRPr="00A34EC1" w:rsidRDefault="00A34EC1" w:rsidP="007633B7">
      <w:pPr>
        <w:spacing w:line="360" w:lineRule="auto"/>
        <w:rPr>
          <w:b/>
        </w:rPr>
      </w:pPr>
      <w:r w:rsidRPr="00A34EC1">
        <w:rPr>
          <w:b/>
        </w:rPr>
        <w:t>Anhang 2: Betriebszeiten</w:t>
      </w:r>
    </w:p>
    <w:p w:rsidR="00A34EC1" w:rsidRDefault="00A34EC1" w:rsidP="007633B7">
      <w:pPr>
        <w:spacing w:line="240" w:lineRule="atLeast"/>
      </w:pPr>
      <w:r>
        <w:t xml:space="preserve">Es sind die normalen Öffnungszeiten des Flugplatzes sowie allfällige </w:t>
      </w:r>
      <w:r w:rsidR="00C12D80">
        <w:t xml:space="preserve">betriebliche </w:t>
      </w:r>
      <w:r>
        <w:t>Einschränkungen für Luftfahrzeuge oder Operationen (z. B.</w:t>
      </w:r>
      <w:r w:rsidR="00C8749B">
        <w:t xml:space="preserve"> Segelflug, </w:t>
      </w:r>
      <w:r>
        <w:t xml:space="preserve">Helikopter) zu nennen. Des Weiteren sind allfällige Sonderregelungen/Ausnahmebestimmungen aufzuführen. </w:t>
      </w:r>
    </w:p>
    <w:p w:rsidR="00A34EC1" w:rsidRDefault="00A34EC1" w:rsidP="00AD4B4B"/>
    <w:p w:rsidR="00A34EC1" w:rsidRPr="004E6D52" w:rsidRDefault="00A34EC1" w:rsidP="007633B7">
      <w:pPr>
        <w:spacing w:line="360" w:lineRule="auto"/>
        <w:rPr>
          <w:b/>
        </w:rPr>
      </w:pPr>
      <w:r w:rsidRPr="004E6D52">
        <w:rPr>
          <w:b/>
        </w:rPr>
        <w:t>Anhang 3:</w:t>
      </w:r>
      <w:r w:rsidR="004E6D52" w:rsidRPr="004E6D52">
        <w:rPr>
          <w:b/>
        </w:rPr>
        <w:t xml:space="preserve"> An- und Abflugverfahren:</w:t>
      </w:r>
    </w:p>
    <w:p w:rsidR="004E6D52" w:rsidRDefault="004E6D52" w:rsidP="007633B7">
      <w:pPr>
        <w:spacing w:line="240" w:lineRule="atLeast"/>
      </w:pPr>
      <w:r>
        <w:t>Kartographische Darstellung der An- und Abflugverfahren</w:t>
      </w:r>
      <w:r w:rsidR="004F210E">
        <w:t>. Di</w:t>
      </w:r>
      <w:r>
        <w:t>e Darstellung der Flugwege/Volten ha</w:t>
      </w:r>
      <w:r w:rsidR="004F210E">
        <w:t>t</w:t>
      </w:r>
      <w:r>
        <w:t xml:space="preserve"> au</w:t>
      </w:r>
      <w:r w:rsidR="004F210E">
        <w:t>f</w:t>
      </w:r>
      <w:r>
        <w:t xml:space="preserve"> einer Landeskarte und nicht auf einer VAC-Karte (</w:t>
      </w:r>
      <w:r w:rsidR="004F210E">
        <w:t xml:space="preserve">Visual Approach Chart) zu erfolgen. </w:t>
      </w:r>
    </w:p>
    <w:p w:rsidR="004F210E" w:rsidRDefault="004F210E" w:rsidP="00AD4B4B"/>
    <w:p w:rsidR="004F210E" w:rsidRPr="007633B7" w:rsidRDefault="004F210E" w:rsidP="007633B7">
      <w:pPr>
        <w:spacing w:line="360" w:lineRule="auto"/>
        <w:rPr>
          <w:b/>
        </w:rPr>
      </w:pPr>
      <w:r w:rsidRPr="004F210E">
        <w:rPr>
          <w:b/>
        </w:rPr>
        <w:t>Anhang 4</w:t>
      </w:r>
      <w:r w:rsidR="007633B7">
        <w:rPr>
          <w:b/>
        </w:rPr>
        <w:t>: Bodenabfertigungsdienste</w:t>
      </w:r>
    </w:p>
    <w:p w:rsidR="00671884" w:rsidRDefault="004F210E" w:rsidP="00671884">
      <w:pPr>
        <w:spacing w:line="240" w:lineRule="atLeast"/>
      </w:pPr>
      <w:r>
        <w:t>Es ist aufzuzeigen, wer für die Bodenabfertigungsdienste (Dritt- bzw. Selbstabfertigung) zuständig ist.</w:t>
      </w:r>
      <w:r w:rsidR="00671884">
        <w:t xml:space="preserve"> Dazu gehören (beispielhafte Aufzählung):</w:t>
      </w:r>
    </w:p>
    <w:p w:rsidR="004F210E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r>
        <w:t>Abfertigung von Passagieren und, soweit vorhanden, Fracht und Post;</w:t>
      </w:r>
    </w:p>
    <w:p w:rsidR="00671884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r>
        <w:t>Begleitung/Transport von Passagieren, Fracht und Post zu den Luftfahrzeugen;</w:t>
      </w:r>
    </w:p>
    <w:p w:rsidR="00671884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r>
        <w:t>Betankung, Catering (Food, Non-food) der Luftfahrzeuge;</w:t>
      </w:r>
    </w:p>
    <w:p w:rsidR="00671884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r>
        <w:t>Versorgung der Luftfahrzeuge mit Energie (Strom, Klima), Wasser;</w:t>
      </w:r>
    </w:p>
    <w:p w:rsidR="00671884" w:rsidRDefault="00671884" w:rsidP="00671884">
      <w:pPr>
        <w:pStyle w:val="Listenabsatz"/>
        <w:numPr>
          <w:ilvl w:val="0"/>
          <w:numId w:val="1"/>
        </w:numPr>
        <w:spacing w:line="240" w:lineRule="atLeast"/>
      </w:pPr>
      <w:r>
        <w:t>Entsorgung von Abwasser, Bordtoiletten.</w:t>
      </w:r>
    </w:p>
    <w:p w:rsidR="00671884" w:rsidRDefault="00671884" w:rsidP="007633B7">
      <w:pPr>
        <w:spacing w:line="360" w:lineRule="auto"/>
      </w:pPr>
    </w:p>
    <w:p w:rsidR="00866770" w:rsidRDefault="00866770" w:rsidP="007633B7">
      <w:pPr>
        <w:spacing w:line="360" w:lineRule="auto"/>
      </w:pPr>
    </w:p>
    <w:sectPr w:rsidR="00866770" w:rsidSect="008667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770" w:rsidRDefault="00866770" w:rsidP="00866770">
      <w:pPr>
        <w:spacing w:line="240" w:lineRule="auto"/>
      </w:pPr>
      <w:r>
        <w:separator/>
      </w:r>
    </w:p>
  </w:endnote>
  <w:endnote w:type="continuationSeparator" w:id="0">
    <w:p w:rsidR="00866770" w:rsidRDefault="00866770" w:rsidP="00866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5C" w:rsidRDefault="00112C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770" w:rsidRDefault="00866770">
    <w:pPr>
      <w:pStyle w:val="Fuzeile"/>
    </w:pPr>
    <w:r w:rsidRPr="00866770">
      <w:t xml:space="preserve">Version Mai </w:t>
    </w:r>
    <w:r w:rsidRPr="00866770">
      <w:t>2022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5C" w:rsidRDefault="00112C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770" w:rsidRDefault="00866770" w:rsidP="00866770">
      <w:pPr>
        <w:spacing w:line="240" w:lineRule="auto"/>
      </w:pPr>
      <w:r>
        <w:separator/>
      </w:r>
    </w:p>
  </w:footnote>
  <w:footnote w:type="continuationSeparator" w:id="0">
    <w:p w:rsidR="00866770" w:rsidRDefault="00866770" w:rsidP="008667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5C" w:rsidRDefault="00112C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5C" w:rsidRDefault="00112C5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C5C" w:rsidRDefault="00112C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637E"/>
    <w:multiLevelType w:val="hybridMultilevel"/>
    <w:tmpl w:val="4364E7B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04C9622-CB5B-43D4-9EF9-62357D5A48D6}"/>
    <w:docVar w:name="dgnword-eventsink" w:val="486917128"/>
  </w:docVars>
  <w:rsids>
    <w:rsidRoot w:val="00A34EC1"/>
    <w:rsid w:val="00112C5C"/>
    <w:rsid w:val="001C32A5"/>
    <w:rsid w:val="002E1DE6"/>
    <w:rsid w:val="004143F3"/>
    <w:rsid w:val="004E6D52"/>
    <w:rsid w:val="004F210E"/>
    <w:rsid w:val="00501E18"/>
    <w:rsid w:val="005C2339"/>
    <w:rsid w:val="0061747C"/>
    <w:rsid w:val="00671884"/>
    <w:rsid w:val="0075187D"/>
    <w:rsid w:val="007633B7"/>
    <w:rsid w:val="007D5FA2"/>
    <w:rsid w:val="00866770"/>
    <w:rsid w:val="00917759"/>
    <w:rsid w:val="00A325E9"/>
    <w:rsid w:val="00A34EC1"/>
    <w:rsid w:val="00AD4B4B"/>
    <w:rsid w:val="00C12D80"/>
    <w:rsid w:val="00C8749B"/>
    <w:rsid w:val="00D50432"/>
    <w:rsid w:val="00E6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12829E"/>
  <w15:chartTrackingRefBased/>
  <w15:docId w15:val="{D9AD1D7E-E51F-437A-BB3E-2FF7021C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188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677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6770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86677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6770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Hirt Stephan BAZL</dc:creator>
  <cp:keywords/>
  <dc:description/>
  <cp:lastModifiedBy>Hirt Stephan BAZL</cp:lastModifiedBy>
  <cp:revision>6</cp:revision>
  <dcterms:created xsi:type="dcterms:W3CDTF">2022-04-27T12:42:00Z</dcterms:created>
  <dcterms:modified xsi:type="dcterms:W3CDTF">2022-05-03T07:44:00Z</dcterms:modified>
</cp:coreProperties>
</file>