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A0A" w:rsidRDefault="008C0A0A" w:rsidP="00AD4B4B">
      <w:pPr>
        <w:rPr>
          <w:b/>
          <w:sz w:val="24"/>
        </w:rPr>
      </w:pPr>
    </w:p>
    <w:tbl>
      <w:tblPr>
        <w:tblW w:w="9809" w:type="dxa"/>
        <w:tblInd w:w="-595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4086"/>
        <w:gridCol w:w="5723"/>
      </w:tblGrid>
      <w:tr w:rsidR="008C0A0A" w:rsidRPr="008C0A0A" w:rsidTr="00B84A7B">
        <w:tblPrEx>
          <w:tblCellMar>
            <w:top w:w="0" w:type="dxa"/>
            <w:bottom w:w="0" w:type="dxa"/>
          </w:tblCellMar>
        </w:tblPrEx>
        <w:trPr>
          <w:cantSplit/>
          <w:trHeight w:hRule="exact" w:val="1800"/>
        </w:trPr>
        <w:tc>
          <w:tcPr>
            <w:tcW w:w="4086" w:type="dxa"/>
          </w:tcPr>
          <w:p w:rsidR="008C0A0A" w:rsidRPr="008C0A0A" w:rsidRDefault="008C0A0A" w:rsidP="008C0A0A">
            <w:pPr>
              <w:widowControl w:val="0"/>
              <w:tabs>
                <w:tab w:val="left" w:pos="794"/>
                <w:tab w:val="left" w:pos="1191"/>
              </w:tabs>
              <w:adjustRightInd w:val="0"/>
              <w:spacing w:line="320" w:lineRule="atLeast"/>
              <w:ind w:left="794"/>
              <w:textAlignment w:val="baseline"/>
              <w:rPr>
                <w:rFonts w:eastAsia="Times New Roman" w:cs="Times New Roman"/>
                <w:sz w:val="22"/>
                <w:lang w:val="de-CH" w:eastAsia="de-CH"/>
              </w:rPr>
            </w:pPr>
            <w:r w:rsidRPr="008C0A0A">
              <w:rPr>
                <w:rFonts w:eastAsia="Times New Roman" w:cs="Times New Roman"/>
                <w:noProof/>
                <w:sz w:val="22"/>
                <w:lang w:val="de-CH" w:eastAsia="de-CH"/>
              </w:rPr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page">
                    <wp:posOffset>441960</wp:posOffset>
                  </wp:positionH>
                  <wp:positionV relativeFrom="page">
                    <wp:posOffset>-20137</wp:posOffset>
                  </wp:positionV>
                  <wp:extent cx="1979930" cy="485140"/>
                  <wp:effectExtent l="0" t="0" r="1270" b="0"/>
                  <wp:wrapNone/>
                  <wp:docPr id="2" name="Grafik 2" descr="Logo_cmyk_pos_randl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Logo_cmyk_pos_randl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993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C0A0A" w:rsidRPr="008C0A0A" w:rsidRDefault="008C0A0A" w:rsidP="008C0A0A">
            <w:pPr>
              <w:widowControl w:val="0"/>
              <w:tabs>
                <w:tab w:val="left" w:pos="794"/>
                <w:tab w:val="left" w:pos="1191"/>
              </w:tabs>
              <w:adjustRightInd w:val="0"/>
              <w:spacing w:line="320" w:lineRule="atLeast"/>
              <w:ind w:left="794"/>
              <w:textAlignment w:val="baseline"/>
              <w:rPr>
                <w:rFonts w:eastAsia="Times New Roman" w:cs="Times New Roman"/>
                <w:sz w:val="22"/>
                <w:lang w:val="de-CH" w:eastAsia="de-CH"/>
              </w:rPr>
            </w:pPr>
          </w:p>
        </w:tc>
        <w:tc>
          <w:tcPr>
            <w:tcW w:w="5723" w:type="dxa"/>
          </w:tcPr>
          <w:p w:rsidR="008C0A0A" w:rsidRPr="008C0A0A" w:rsidRDefault="008C0A0A" w:rsidP="008C0A0A">
            <w:pPr>
              <w:widowControl w:val="0"/>
              <w:tabs>
                <w:tab w:val="left" w:pos="794"/>
                <w:tab w:val="left" w:pos="1191"/>
              </w:tabs>
              <w:adjustRightInd w:val="0"/>
              <w:spacing w:after="100" w:line="200" w:lineRule="exact"/>
              <w:ind w:left="794"/>
              <w:textAlignment w:val="baseline"/>
              <w:rPr>
                <w:rFonts w:eastAsia="Arial" w:cs="Times New Roman"/>
                <w:sz w:val="15"/>
                <w:lang w:val="it-IT" w:eastAsia="de-CH"/>
              </w:rPr>
            </w:pPr>
            <w:r w:rsidRPr="008C0A0A">
              <w:rPr>
                <w:rFonts w:eastAsia="Arial" w:cs="Times New Roman"/>
                <w:sz w:val="15"/>
                <w:lang w:val="it-IT" w:eastAsia="de-CH"/>
              </w:rPr>
              <w:t xml:space="preserve">Dipartimento federale dell'ambiente, dei trasporti, </w:t>
            </w:r>
            <w:r w:rsidRPr="008C0A0A">
              <w:rPr>
                <w:rFonts w:eastAsia="Arial" w:cs="Times New Roman"/>
                <w:sz w:val="15"/>
                <w:lang w:val="it-IT" w:eastAsia="de-CH"/>
              </w:rPr>
              <w:br/>
              <w:t>dell'energia e delle comunicazioni DATEC</w:t>
            </w:r>
          </w:p>
          <w:p w:rsidR="008C0A0A" w:rsidRPr="008C0A0A" w:rsidRDefault="008C0A0A" w:rsidP="008C0A0A">
            <w:pPr>
              <w:widowControl w:val="0"/>
              <w:tabs>
                <w:tab w:val="left" w:pos="794"/>
                <w:tab w:val="left" w:pos="1191"/>
              </w:tabs>
              <w:adjustRightInd w:val="0"/>
              <w:spacing w:after="100" w:line="200" w:lineRule="exact"/>
              <w:ind w:left="794"/>
              <w:textAlignment w:val="baseline"/>
              <w:rPr>
                <w:rFonts w:eastAsia="Times New Roman" w:cs="Times New Roman"/>
                <w:b/>
                <w:sz w:val="15"/>
                <w:lang w:val="it-IT" w:eastAsia="de-CH"/>
              </w:rPr>
            </w:pPr>
            <w:r w:rsidRPr="008C0A0A">
              <w:rPr>
                <w:rFonts w:eastAsia="Times New Roman" w:cs="Times New Roman"/>
                <w:b/>
                <w:sz w:val="15"/>
                <w:lang w:val="it-IT" w:eastAsia="de-CH"/>
              </w:rPr>
              <w:t>Ufficio federale dell’aviazione civile UFAC</w:t>
            </w:r>
          </w:p>
        </w:tc>
      </w:tr>
    </w:tbl>
    <w:p w:rsidR="007D5FA2" w:rsidRPr="00A34EC1" w:rsidRDefault="00A34EC1" w:rsidP="00AD4B4B">
      <w:pPr>
        <w:rPr>
          <w:b/>
          <w:sz w:val="24"/>
          <w:szCs w:val="24"/>
        </w:rPr>
      </w:pPr>
      <w:r>
        <w:rPr>
          <w:b/>
          <w:sz w:val="24"/>
        </w:rPr>
        <w:t>Spiegazioni relative al modello di regolamento d'esercizio</w:t>
      </w:r>
    </w:p>
    <w:p w:rsidR="00A34EC1" w:rsidRDefault="00A34EC1" w:rsidP="00AD4B4B"/>
    <w:p w:rsidR="00917759" w:rsidRDefault="00917759" w:rsidP="00AD4B4B"/>
    <w:p w:rsidR="00A34EC1" w:rsidRPr="00A34EC1" w:rsidRDefault="00A34EC1" w:rsidP="007633B7">
      <w:pPr>
        <w:spacing w:line="360" w:lineRule="auto"/>
        <w:rPr>
          <w:b/>
        </w:rPr>
      </w:pPr>
      <w:r>
        <w:rPr>
          <w:b/>
        </w:rPr>
        <w:t>Allegato 1: Organizzazione dell'esercizio</w:t>
      </w:r>
    </w:p>
    <w:p w:rsidR="00A34EC1" w:rsidRDefault="00A34EC1" w:rsidP="007633B7">
      <w:pPr>
        <w:spacing w:line="240" w:lineRule="atLeast"/>
      </w:pPr>
      <w:r>
        <w:t>Oltre all'organigramma, devono essere indicati i diversi operatori dell'aerodromo (funzioni, senza i nomi delle persone), nonché le loro relazioni e in</w:t>
      </w:r>
      <w:bookmarkStart w:id="0" w:name="_GoBack"/>
      <w:bookmarkEnd w:id="0"/>
      <w:r>
        <w:t xml:space="preserve">terdipendenze. </w:t>
      </w:r>
    </w:p>
    <w:p w:rsidR="00A34EC1" w:rsidRDefault="00A34EC1" w:rsidP="00AD4B4B"/>
    <w:p w:rsidR="00A34EC1" w:rsidRPr="00A34EC1" w:rsidRDefault="00A34EC1" w:rsidP="007633B7">
      <w:pPr>
        <w:spacing w:line="360" w:lineRule="auto"/>
        <w:rPr>
          <w:b/>
        </w:rPr>
      </w:pPr>
      <w:r>
        <w:rPr>
          <w:b/>
        </w:rPr>
        <w:t>Allegato 2: Orari d'esercizio</w:t>
      </w:r>
    </w:p>
    <w:p w:rsidR="00A34EC1" w:rsidRDefault="00A34EC1" w:rsidP="007633B7">
      <w:pPr>
        <w:spacing w:line="240" w:lineRule="atLeast"/>
      </w:pPr>
      <w:r>
        <w:t xml:space="preserve">Devono essere indicati i normali orari di apertura dell'aerodromo e le eventuali limitazioni dell'esercizio per gli aeromobili o le operazioni di volo (ad es. volo a vela, elicottero). Devono inoltre figurare eventuali regolamentazioni speciali o deroghe. </w:t>
      </w:r>
    </w:p>
    <w:p w:rsidR="00A34EC1" w:rsidRDefault="00A34EC1" w:rsidP="00AD4B4B"/>
    <w:p w:rsidR="00A34EC1" w:rsidRPr="004E6D52" w:rsidRDefault="00A34EC1" w:rsidP="007633B7">
      <w:pPr>
        <w:spacing w:line="360" w:lineRule="auto"/>
        <w:rPr>
          <w:b/>
        </w:rPr>
      </w:pPr>
      <w:r>
        <w:rPr>
          <w:b/>
        </w:rPr>
        <w:t>Allegato 3: Procedure di avvicinamento e di decollo</w:t>
      </w:r>
    </w:p>
    <w:p w:rsidR="004E6D52" w:rsidRDefault="004E6D52" w:rsidP="007633B7">
      <w:pPr>
        <w:spacing w:line="240" w:lineRule="atLeast"/>
      </w:pPr>
      <w:r>
        <w:t xml:space="preserve">Rappresentazione cartografica delle procedure di avvicinamento e di decollo La rappresentazione delle traiettorie e dei circuiti di volo deve essere fatta su una carta nazionale e non su una carta VAC (Visual Approach Chart). </w:t>
      </w:r>
    </w:p>
    <w:p w:rsidR="004F210E" w:rsidRDefault="004F210E" w:rsidP="00AD4B4B"/>
    <w:p w:rsidR="004F210E" w:rsidRPr="007633B7" w:rsidRDefault="004F210E" w:rsidP="007633B7">
      <w:pPr>
        <w:spacing w:line="360" w:lineRule="auto"/>
        <w:rPr>
          <w:b/>
        </w:rPr>
      </w:pPr>
      <w:r>
        <w:rPr>
          <w:b/>
        </w:rPr>
        <w:t>Allegato 4: Servizi di assistenza a terra</w:t>
      </w:r>
    </w:p>
    <w:p w:rsidR="00671884" w:rsidRDefault="004F210E" w:rsidP="00671884">
      <w:pPr>
        <w:spacing w:line="240" w:lineRule="atLeast"/>
      </w:pPr>
      <w:r>
        <w:t>Deve essere indicato il responsabile dei servizi di assistenza a terra (forniti internamente o da terzi). Si tratta delle seguenti prestazioni (elenco a titolo di esempio):</w:t>
      </w:r>
    </w:p>
    <w:p w:rsidR="004F210E" w:rsidRDefault="00671884" w:rsidP="00671884">
      <w:pPr>
        <w:pStyle w:val="Listenabsatz"/>
        <w:numPr>
          <w:ilvl w:val="0"/>
          <w:numId w:val="1"/>
        </w:numPr>
        <w:spacing w:line="240" w:lineRule="atLeast"/>
      </w:pPr>
      <w:r>
        <w:t>operazioni di imbarco di passeggeri e, se del caso, di merci e di invii postali;</w:t>
      </w:r>
    </w:p>
    <w:p w:rsidR="00671884" w:rsidRDefault="00671884" w:rsidP="00671884">
      <w:pPr>
        <w:pStyle w:val="Listenabsatz"/>
        <w:numPr>
          <w:ilvl w:val="0"/>
          <w:numId w:val="1"/>
        </w:numPr>
        <w:spacing w:line="240" w:lineRule="atLeast"/>
      </w:pPr>
      <w:r>
        <w:t>accompagnamento e trasporto di passeggeri, merci e invii postali agli aeromobili;</w:t>
      </w:r>
    </w:p>
    <w:p w:rsidR="00671884" w:rsidRDefault="00671884" w:rsidP="00671884">
      <w:pPr>
        <w:pStyle w:val="Listenabsatz"/>
        <w:numPr>
          <w:ilvl w:val="0"/>
          <w:numId w:val="1"/>
        </w:numPr>
        <w:spacing w:line="240" w:lineRule="atLeast"/>
      </w:pPr>
      <w:r>
        <w:t>rifornimento di carburante e catering (food/non food) degli aeromobili;</w:t>
      </w:r>
    </w:p>
    <w:p w:rsidR="00671884" w:rsidRDefault="00671884" w:rsidP="00671884">
      <w:pPr>
        <w:pStyle w:val="Listenabsatz"/>
        <w:numPr>
          <w:ilvl w:val="0"/>
          <w:numId w:val="1"/>
        </w:numPr>
        <w:spacing w:line="240" w:lineRule="atLeast"/>
      </w:pPr>
      <w:r>
        <w:t>fornitura di energia (elettricità, aria condizionata) e di acqua per gli aeromobili;</w:t>
      </w:r>
    </w:p>
    <w:p w:rsidR="00671884" w:rsidRDefault="00671884" w:rsidP="00671884">
      <w:pPr>
        <w:pStyle w:val="Listenabsatz"/>
        <w:numPr>
          <w:ilvl w:val="0"/>
          <w:numId w:val="1"/>
        </w:numPr>
        <w:spacing w:line="240" w:lineRule="atLeast"/>
      </w:pPr>
      <w:r>
        <w:t>smaltimento delle acque di scarico e toilette di bordo.</w:t>
      </w:r>
    </w:p>
    <w:p w:rsidR="00671884" w:rsidRPr="004F210E" w:rsidRDefault="00671884" w:rsidP="007633B7">
      <w:pPr>
        <w:spacing w:line="360" w:lineRule="auto"/>
      </w:pPr>
    </w:p>
    <w:sectPr w:rsidR="00671884" w:rsidRPr="004F210E" w:rsidSect="008C0A0A">
      <w:footerReference w:type="default" r:id="rId8"/>
      <w:pgSz w:w="11907" w:h="16839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A0A" w:rsidRDefault="008C0A0A" w:rsidP="008C0A0A">
      <w:pPr>
        <w:spacing w:line="240" w:lineRule="auto"/>
      </w:pPr>
      <w:r>
        <w:separator/>
      </w:r>
    </w:p>
  </w:endnote>
  <w:endnote w:type="continuationSeparator" w:id="0">
    <w:p w:rsidR="008C0A0A" w:rsidRDefault="008C0A0A" w:rsidP="008C0A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A0A" w:rsidRPr="008C0A0A" w:rsidRDefault="008C0A0A">
    <w:pPr>
      <w:pStyle w:val="Fuzeile"/>
      <w:rPr>
        <w:lang w:val="de-CH"/>
      </w:rPr>
    </w:pPr>
    <w:proofErr w:type="spellStart"/>
    <w:r w:rsidRPr="008C0A0A">
      <w:rPr>
        <w:lang w:val="de-CH"/>
      </w:rPr>
      <w:t>Versione</w:t>
    </w:r>
    <w:proofErr w:type="spellEnd"/>
    <w:r w:rsidRPr="008C0A0A">
      <w:rPr>
        <w:lang w:val="de-CH"/>
      </w:rPr>
      <w:t xml:space="preserve"> </w:t>
    </w:r>
    <w:proofErr w:type="spellStart"/>
    <w:r w:rsidRPr="008C0A0A">
      <w:rPr>
        <w:lang w:val="de-CH"/>
      </w:rPr>
      <w:t>maggio</w:t>
    </w:r>
    <w:proofErr w:type="spellEnd"/>
    <w:r w:rsidRPr="008C0A0A">
      <w:rPr>
        <w:lang w:val="de-CH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A0A" w:rsidRDefault="008C0A0A" w:rsidP="008C0A0A">
      <w:pPr>
        <w:spacing w:line="240" w:lineRule="auto"/>
      </w:pPr>
      <w:r>
        <w:separator/>
      </w:r>
    </w:p>
  </w:footnote>
  <w:footnote w:type="continuationSeparator" w:id="0">
    <w:p w:rsidR="008C0A0A" w:rsidRDefault="008C0A0A" w:rsidP="008C0A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7637E"/>
    <w:multiLevelType w:val="hybridMultilevel"/>
    <w:tmpl w:val="4364E7B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B923487D-6A9A-41B3-AFFB-DC061268818D}"/>
    <w:docVar w:name="dgnword-eventsink" w:val="493048312"/>
  </w:docVars>
  <w:rsids>
    <w:rsidRoot w:val="00A34EC1"/>
    <w:rsid w:val="001C32A5"/>
    <w:rsid w:val="002E1DE6"/>
    <w:rsid w:val="004E6D52"/>
    <w:rsid w:val="004F210E"/>
    <w:rsid w:val="005C2339"/>
    <w:rsid w:val="0061747C"/>
    <w:rsid w:val="00671884"/>
    <w:rsid w:val="0075187D"/>
    <w:rsid w:val="007633B7"/>
    <w:rsid w:val="007D5FA2"/>
    <w:rsid w:val="008C0A0A"/>
    <w:rsid w:val="00917759"/>
    <w:rsid w:val="00A325E9"/>
    <w:rsid w:val="00A34EC1"/>
    <w:rsid w:val="00AD4B4B"/>
    <w:rsid w:val="00C12D80"/>
    <w:rsid w:val="00C8749B"/>
    <w:rsid w:val="00D50432"/>
    <w:rsid w:val="00FE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57A787FD"/>
  <w15:chartTrackingRefBased/>
  <w15:docId w15:val="{D9AD1D7E-E51F-437A-BB3E-2FF7021C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7188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C0A0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C0A0A"/>
    <w:rPr>
      <w:rFonts w:ascii="Arial" w:hAnsi="Arial" w:cs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8C0A0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C0A0A"/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Hirt Stephan BAZL</dc:creator>
  <cp:keywords/>
  <dc:description/>
  <cp:lastModifiedBy>Hirt Stephan BAZL</cp:lastModifiedBy>
  <cp:revision>3</cp:revision>
  <dcterms:created xsi:type="dcterms:W3CDTF">2022-04-27T12:38:00Z</dcterms:created>
  <dcterms:modified xsi:type="dcterms:W3CDTF">2022-05-03T07:38:00Z</dcterms:modified>
</cp:coreProperties>
</file>